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BB0F30" w:rsidRDefault="00EC6B94" w:rsidP="00517428">
            <w:pPr>
              <w:jc w:val="both"/>
              <w:rPr>
                <w:rFonts w:asciiTheme="minorHAnsi" w:hAnsiTheme="minorHAnsi" w:cstheme="minorHAnsi"/>
                <w:b/>
                <w:szCs w:val="24"/>
              </w:rPr>
            </w:pPr>
            <w:r w:rsidRPr="00BB0F30">
              <w:rPr>
                <w:rFonts w:asciiTheme="minorHAnsi" w:hAnsiTheme="minorHAnsi" w:cstheme="minorHAnsi"/>
                <w:b/>
                <w:szCs w:val="24"/>
              </w:rPr>
              <w:t xml:space="preserve">Relief </w:t>
            </w:r>
            <w:r w:rsidR="00375B07" w:rsidRPr="00BB0F30">
              <w:rPr>
                <w:rFonts w:asciiTheme="minorHAnsi" w:hAnsiTheme="minorHAnsi" w:cstheme="minorHAnsi"/>
                <w:b/>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BB0F30" w:rsidRDefault="00764801" w:rsidP="00B50403">
            <w:pPr>
              <w:jc w:val="both"/>
              <w:rPr>
                <w:rFonts w:asciiTheme="minorHAnsi" w:hAnsiTheme="minorHAnsi" w:cstheme="minorHAnsi"/>
                <w:b/>
                <w:szCs w:val="24"/>
              </w:rPr>
            </w:pPr>
            <w:r w:rsidRPr="00BB0F30">
              <w:rPr>
                <w:rFonts w:asciiTheme="minorHAnsi" w:hAnsiTheme="minorHAnsi" w:cstheme="minorHAnsi"/>
                <w:b/>
                <w:szCs w:val="24"/>
              </w:rPr>
              <w:t>Dundee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BB0F30">
              <w:rPr>
                <w:rFonts w:asciiTheme="minorHAnsi" w:hAnsiTheme="minorHAnsi" w:cstheme="minorHAnsi"/>
                <w:b/>
                <w:szCs w:val="24"/>
              </w:rPr>
              <w:t>Various</w:t>
            </w:r>
            <w:r w:rsidR="00BB0F30" w:rsidRPr="00BB0F30">
              <w:rPr>
                <w:rFonts w:asciiTheme="minorHAnsi" w:hAnsiTheme="minorHAnsi" w:cstheme="minorHAnsi"/>
                <w:b/>
                <w:szCs w:val="24"/>
              </w:rPr>
              <w:t xml:space="preserve"> hours available</w:t>
            </w:r>
            <w:r w:rsidRPr="00AA77BB">
              <w:rPr>
                <w:rFonts w:asciiTheme="minorHAnsi" w:hAnsiTheme="minorHAnsi" w:cstheme="minorHAnsi"/>
                <w:szCs w:val="24"/>
              </w:rPr>
              <w:t xml:space="preserve">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bookmarkStart w:id="0" w:name="_GoBack"/>
            <w:r w:rsidRPr="00BB0F30">
              <w:rPr>
                <w:rFonts w:asciiTheme="minorHAnsi" w:hAnsiTheme="minorHAnsi" w:cstheme="minorHAnsi"/>
                <w:b/>
                <w:szCs w:val="24"/>
              </w:rPr>
              <w:t>£</w:t>
            </w:r>
            <w:r w:rsidR="00433574" w:rsidRPr="00BB0F30">
              <w:rPr>
                <w:rFonts w:asciiTheme="minorHAnsi" w:hAnsiTheme="minorHAnsi" w:cstheme="minorHAnsi"/>
                <w:b/>
                <w:szCs w:val="24"/>
              </w:rPr>
              <w:t>9.50</w:t>
            </w:r>
            <w:r w:rsidR="00375B07" w:rsidRPr="00BB0F30">
              <w:rPr>
                <w:rFonts w:asciiTheme="minorHAnsi" w:hAnsiTheme="minorHAnsi" w:cstheme="minorHAnsi"/>
                <w:b/>
                <w:szCs w:val="24"/>
              </w:rPr>
              <w:t xml:space="preserve"> p</w:t>
            </w:r>
            <w:r w:rsidR="00EC6B94" w:rsidRPr="00BB0F30">
              <w:rPr>
                <w:rFonts w:asciiTheme="minorHAnsi" w:hAnsiTheme="minorHAnsi" w:cstheme="minorHAnsi"/>
                <w:b/>
                <w:szCs w:val="24"/>
              </w:rPr>
              <w:t>er hour</w:t>
            </w:r>
            <w:bookmarkEnd w:id="0"/>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Offer will be subject to proof of qualifications </w:t>
            </w:r>
            <w:r w:rsidRPr="00AA77BB">
              <w:rPr>
                <w:rFonts w:asciiTheme="minorHAnsi" w:hAnsiTheme="minorHAnsi" w:cstheme="minorHAnsi"/>
                <w:szCs w:val="24"/>
              </w:rPr>
              <w:lastRenderedPageBreak/>
              <w:t>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764801" w:rsidRPr="00AA77BB" w:rsidRDefault="00764801" w:rsidP="00796B3B">
            <w:pPr>
              <w:jc w:val="both"/>
              <w:rPr>
                <w:rFonts w:asciiTheme="minorHAnsi" w:hAnsiTheme="minorHAnsi" w:cstheme="minorHAnsi"/>
                <w:szCs w:val="24"/>
              </w:rPr>
            </w:pP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046579">
      <w:rPr>
        <w:rFonts w:ascii="Arial" w:hAnsi="Arial"/>
        <w:noProof/>
        <w:snapToGrid w:val="0"/>
        <w:sz w:val="16"/>
      </w:rPr>
      <w:t>\\HHDMSDATASTORE\hr$\56\4BC7EB.docx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46579"/>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33574"/>
    <w:rsid w:val="00457147"/>
    <w:rsid w:val="00464DAD"/>
    <w:rsid w:val="00481E3E"/>
    <w:rsid w:val="004D1C2C"/>
    <w:rsid w:val="004F5EE2"/>
    <w:rsid w:val="00517428"/>
    <w:rsid w:val="00530AED"/>
    <w:rsid w:val="005409C5"/>
    <w:rsid w:val="00547733"/>
    <w:rsid w:val="005535A9"/>
    <w:rsid w:val="00553EAF"/>
    <w:rsid w:val="00561D45"/>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706F63"/>
    <w:rsid w:val="00764801"/>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0F30"/>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849AF"/>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2020-02-21T13:14:00Z</cp:lastPrinted>
  <dcterms:created xsi:type="dcterms:W3CDTF">2021-03-24T17:02:00Z</dcterms:created>
  <dcterms:modified xsi:type="dcterms:W3CDTF">2021-03-24T17:02:00Z</dcterms:modified>
</cp:coreProperties>
</file>